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5BF7ED91" w:rsidR="00681710" w:rsidRPr="00C86F9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86F98">
        <w:rPr>
          <w:rFonts w:asciiTheme="minorHAnsi" w:eastAsiaTheme="minorHAnsi" w:hAnsiTheme="minorHAnsi" w:cstheme="minorHAnsi"/>
          <w:i/>
          <w:sz w:val="22"/>
          <w:szCs w:val="22"/>
        </w:rPr>
        <w:t>Progresul înregistrat în implementarea activităților și rezultatele obținute în perioada de raportare</w:t>
      </w:r>
      <w:r w:rsidR="004E3552" w:rsidRPr="00C86F98">
        <w:rPr>
          <w:rFonts w:asciiTheme="minorHAnsi" w:eastAsiaTheme="minorHAnsi" w:hAnsiTheme="minorHAnsi" w:cstheme="minorHAnsi"/>
          <w:i/>
          <w:sz w:val="22"/>
          <w:szCs w:val="22"/>
        </w:rPr>
        <w:t>, inclusiv progresul înregistrat în îndeplinirea condițiilor din evaluare/condițiilor din nota JASPERS.</w:t>
      </w:r>
    </w:p>
    <w:p w14:paraId="7EA4E274" w14:textId="340A514A" w:rsidR="004E3552" w:rsidRPr="004E3552" w:rsidRDefault="004E3552" w:rsidP="004E3552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F34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D7124" w14:textId="77777777" w:rsidR="00F34A00" w:rsidRDefault="00F34A00" w:rsidP="00BA763C">
      <w:r>
        <w:separator/>
      </w:r>
    </w:p>
  </w:endnote>
  <w:endnote w:type="continuationSeparator" w:id="0">
    <w:p w14:paraId="456CDE66" w14:textId="77777777" w:rsidR="00F34A00" w:rsidRDefault="00F34A00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CECD" w14:textId="77777777" w:rsidR="00DA2978" w:rsidRDefault="00DA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5EECA" w14:textId="77777777" w:rsidR="00DA2978" w:rsidRDefault="00DA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8AA79" w14:textId="77777777" w:rsidR="00DA2978" w:rsidRDefault="00DA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92187" w14:textId="77777777" w:rsidR="00F34A00" w:rsidRDefault="00F34A00" w:rsidP="00BA763C">
      <w:r>
        <w:separator/>
      </w:r>
    </w:p>
  </w:footnote>
  <w:footnote w:type="continuationSeparator" w:id="0">
    <w:p w14:paraId="20892973" w14:textId="77777777" w:rsidR="00F34A00" w:rsidRDefault="00F34A00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F2265" w14:textId="77777777" w:rsidR="00DA2978" w:rsidRDefault="00DA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183B3" w14:textId="5BC146CB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A71A5D">
      <w:rPr>
        <w:rFonts w:asciiTheme="minorHAnsi" w:hAnsiTheme="minorHAnsi" w:cstheme="minorHAnsi"/>
        <w:b/>
        <w:color w:val="0070C0"/>
        <w:sz w:val="22"/>
        <w:szCs w:val="22"/>
        <w:lang w:val="en-US"/>
      </w:rPr>
      <w:t>9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  <w:r w:rsidR="009959C7" w:rsidRPr="009959C7">
      <w:t xml:space="preserve"> </w:t>
    </w:r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la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Ghidul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solicitantului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pentru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stabilirea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condițiilor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reaprobare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a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proiectelor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apă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și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apă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uzată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contractate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conform </w:t>
    </w:r>
    <w:proofErr w:type="spellStart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>dispozițiilor</w:t>
    </w:r>
    <w:proofErr w:type="spellEnd"/>
    <w:r w:rsidR="009959C7" w:rsidRPr="009959C7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art. I din OUG nr. 109/2022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7F72" w14:textId="77777777" w:rsidR="00DA2978" w:rsidRDefault="00DA2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6985001">
    <w:abstractNumId w:val="23"/>
  </w:num>
  <w:num w:numId="2" w16cid:durableId="608053202">
    <w:abstractNumId w:val="13"/>
  </w:num>
  <w:num w:numId="3" w16cid:durableId="1982955348">
    <w:abstractNumId w:val="12"/>
  </w:num>
  <w:num w:numId="4" w16cid:durableId="1354041637">
    <w:abstractNumId w:val="22"/>
  </w:num>
  <w:num w:numId="5" w16cid:durableId="1397556955">
    <w:abstractNumId w:val="4"/>
  </w:num>
  <w:num w:numId="6" w16cid:durableId="1993437864">
    <w:abstractNumId w:val="10"/>
  </w:num>
  <w:num w:numId="7" w16cid:durableId="2027637766">
    <w:abstractNumId w:val="7"/>
  </w:num>
  <w:num w:numId="8" w16cid:durableId="869218285">
    <w:abstractNumId w:val="17"/>
  </w:num>
  <w:num w:numId="9" w16cid:durableId="1705592447">
    <w:abstractNumId w:val="5"/>
  </w:num>
  <w:num w:numId="10" w16cid:durableId="572661537">
    <w:abstractNumId w:val="18"/>
  </w:num>
  <w:num w:numId="11" w16cid:durableId="2027825272">
    <w:abstractNumId w:val="14"/>
  </w:num>
  <w:num w:numId="12" w16cid:durableId="2105345932">
    <w:abstractNumId w:val="9"/>
  </w:num>
  <w:num w:numId="13" w16cid:durableId="1949853772">
    <w:abstractNumId w:val="19"/>
  </w:num>
  <w:num w:numId="14" w16cid:durableId="1860123123">
    <w:abstractNumId w:val="2"/>
  </w:num>
  <w:num w:numId="15" w16cid:durableId="614597700">
    <w:abstractNumId w:val="6"/>
  </w:num>
  <w:num w:numId="16" w16cid:durableId="414743375">
    <w:abstractNumId w:val="16"/>
  </w:num>
  <w:num w:numId="17" w16cid:durableId="161118319">
    <w:abstractNumId w:val="0"/>
  </w:num>
  <w:num w:numId="18" w16cid:durableId="545990767">
    <w:abstractNumId w:val="21"/>
  </w:num>
  <w:num w:numId="19" w16cid:durableId="1448233859">
    <w:abstractNumId w:val="3"/>
  </w:num>
  <w:num w:numId="20" w16cid:durableId="915937920">
    <w:abstractNumId w:val="20"/>
  </w:num>
  <w:num w:numId="21" w16cid:durableId="224684428">
    <w:abstractNumId w:val="1"/>
  </w:num>
  <w:num w:numId="22" w16cid:durableId="1263104131">
    <w:abstractNumId w:val="11"/>
  </w:num>
  <w:num w:numId="23" w16cid:durableId="184368705">
    <w:abstractNumId w:val="8"/>
  </w:num>
  <w:num w:numId="24" w16cid:durableId="979647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2235E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E3552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9C7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1A5D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86F98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C3216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34A00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spla</cp:lastModifiedBy>
  <cp:revision>17</cp:revision>
  <cp:lastPrinted>2024-03-12T13:42:00Z</cp:lastPrinted>
  <dcterms:created xsi:type="dcterms:W3CDTF">2023-04-27T19:43:00Z</dcterms:created>
  <dcterms:modified xsi:type="dcterms:W3CDTF">2024-03-26T12:47:00Z</dcterms:modified>
</cp:coreProperties>
</file>